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319"/>
        <w:rPr/>
      </w:pPr>
      <w:r>
        <w:rPr>
          <w:rFonts w:eastAsia="Times New Roman" w:cs="AgfaRotisSansSerif" w:ascii="AgfaRotisSansSerif" w:hAnsi="AgfaRotisSansSerif"/>
          <w:b/>
          <w:sz w:val="24"/>
          <w:szCs w:val="24"/>
          <w:lang w:eastAsia="de-DE"/>
        </w:rPr>
        <w:tab/>
        <w:tab/>
        <w:tab/>
        <w:tab/>
        <w:tab/>
        <w:tab/>
        <w:tab/>
        <w:tab/>
        <w:tab/>
      </w:r>
    </w:p>
    <w:p>
      <w:pPr>
        <w:pStyle w:val="Normal"/>
        <w:rPr>
          <w:highlight w:val="yellow"/>
        </w:rPr>
      </w:pPr>
      <w:r>
        <w:rPr>
          <w:highlight w:val="yellow"/>
        </w:rPr>
      </w:r>
    </w:p>
    <w:p>
      <w:pPr>
        <w:pStyle w:val="Normal"/>
        <w:rPr>
          <w:highlight w:val="yellow"/>
        </w:rPr>
      </w:pPr>
      <w:r>
        <w:rPr>
          <w:highlight w:val="yellow"/>
        </w:rPr>
      </w:r>
    </w:p>
    <w:p>
      <w:pPr>
        <w:pStyle w:val="Normal"/>
        <w:rPr>
          <w:highlight w:val="yellow"/>
        </w:rPr>
      </w:pPr>
      <w:r>
        <w:rPr>
          <w:highlight w:val="yellow"/>
        </w:rPr>
        <w:t>An den/die Bundestagsabgeordnete*n</w:t>
      </w:r>
    </w:p>
    <w:p>
      <w:pPr>
        <w:pStyle w:val="Normal"/>
        <w:rPr>
          <w:highlight w:val="yellow"/>
        </w:rPr>
      </w:pPr>
      <w:r>
        <w:rPr>
          <w:highlight w:val="yellow"/>
        </w:rPr>
        <w:t>oder</w:t>
      </w:r>
    </w:p>
    <w:p>
      <w:pPr>
        <w:pStyle w:val="Normal"/>
        <w:rPr>
          <w:highlight w:val="yellow"/>
        </w:rPr>
      </w:pPr>
      <w:r>
        <w:rPr>
          <w:highlight w:val="yellow"/>
        </w:rPr>
        <w:t>An die Baupolitiker*innen der Bundestagsfraktion</w:t>
      </w:r>
    </w:p>
    <w:p>
      <w:pPr>
        <w:pStyle w:val="Normal"/>
        <w:spacing w:before="0" w:after="319"/>
        <w:rPr>
          <w:rFonts w:ascii="AgfaRotisSansSerif" w:hAnsi="AgfaRotisSansSerif" w:cs="AgfaRotisSansSerif"/>
          <w:color w:val="000000"/>
          <w:sz w:val="24"/>
          <w:szCs w:val="24"/>
        </w:rPr>
      </w:pPr>
      <w:r>
        <w:rPr>
          <w:rFonts w:eastAsia="Times New Roman" w:cs="AgfaRotisSansSerif" w:ascii="AgfaRotisSansSerif" w:hAnsi="AgfaRotisSansSerif"/>
          <w:b/>
          <w:sz w:val="24"/>
          <w:szCs w:val="20"/>
          <w:lang w:eastAsia="de-DE"/>
        </w:rPr>
        <w:tab/>
        <w:tab/>
        <w:tab/>
        <w:tab/>
        <w:tab/>
        <w:tab/>
        <w:tab/>
        <w:tab/>
        <w:tab/>
        <w:tab/>
      </w:r>
      <w:r>
        <w:rPr>
          <w:rFonts w:eastAsia="Times New Roman" w:cs="AgfaRotisSansSerif" w:ascii="AgfaRotisSansSerif" w:hAnsi="AgfaRotisSansSerif"/>
          <w:sz w:val="24"/>
          <w:szCs w:val="20"/>
          <w:highlight w:val="yellow"/>
          <w:lang w:eastAsia="de-DE"/>
        </w:rPr>
        <w:t>Ort, Datum</w:t>
      </w:r>
    </w:p>
    <w:p>
      <w:pPr>
        <w:pStyle w:val="Normal"/>
        <w:spacing w:before="0" w:after="319"/>
        <w:rPr>
          <w:rFonts w:ascii="AgfaRotisSansSerif" w:hAnsi="AgfaRotisSansSerif" w:eastAsia="Times New Roman"/>
          <w:szCs w:val="20"/>
          <w:highlight w:val="yellow"/>
          <w:lang w:eastAsia="de-DE"/>
        </w:rPr>
      </w:pPr>
      <w:r>
        <w:rPr>
          <w:rFonts w:eastAsia="Times New Roman" w:ascii="AgfaRotisSansSerif" w:hAnsi="AgfaRotisSansSerif"/>
          <w:szCs w:val="20"/>
          <w:highlight w:val="yellow"/>
          <w:lang w:eastAsia="de-DE"/>
        </w:rPr>
      </w:r>
    </w:p>
    <w:p>
      <w:pPr>
        <w:pStyle w:val="Normal"/>
        <w:spacing w:before="0" w:after="319"/>
        <w:rPr/>
      </w:pPr>
      <w:r>
        <w:rPr>
          <w:rFonts w:eastAsia="Times New Roman" w:cs="AgfaRotisSansSerif" w:ascii="AgfaRotisSansSerif" w:hAnsi="AgfaRotisSansSerif"/>
          <w:b/>
          <w:sz w:val="24"/>
          <w:szCs w:val="24"/>
          <w:lang w:eastAsia="de-DE"/>
        </w:rPr>
        <w:t xml:space="preserve">Zum Entwurf eines Gesetzes zur Mobilisierung von Bauland (Baulandmobilisierungsgesetz): </w:t>
      </w:r>
      <w:r>
        <w:rPr>
          <w:rFonts w:eastAsia="Times New Roman" w:cs="AgfaRotisSansSerif" w:ascii="AgfaRotisSansSerif" w:hAnsi="AgfaRotisSansSerif"/>
          <w:b/>
          <w:sz w:val="24"/>
          <w:szCs w:val="20"/>
          <w:lang w:eastAsia="de-DE"/>
        </w:rPr>
        <w:t>Keine Wiedereinführung des §13b BauGB</w:t>
      </w:r>
    </w:p>
    <w:p>
      <w:pPr>
        <w:pStyle w:val="Normal"/>
        <w:spacing w:before="0" w:after="319"/>
        <w:rPr>
          <w:rFonts w:ascii="Helvetica" w:hAnsi="Helvetica" w:eastAsia="Times New Roman" w:cs="Helvetica"/>
          <w:b/>
          <w:b/>
          <w:color w:val="4A4A4A"/>
          <w:lang w:eastAsia="de-DE"/>
        </w:rPr>
      </w:pPr>
      <w:r>
        <w:rPr>
          <w:rFonts w:eastAsia="Times New Roman" w:cs="Helvetica" w:ascii="Helvetica" w:hAnsi="Helvetica"/>
          <w:b/>
          <w:color w:val="4A4A4A"/>
          <w:lang w:eastAsia="de-DE"/>
        </w:rPr>
      </w:r>
    </w:p>
    <w:p>
      <w:pPr>
        <w:pStyle w:val="NormalWeb"/>
        <w:spacing w:beforeAutospacing="0" w:before="280" w:afterAutospacing="0" w:after="319"/>
        <w:rPr>
          <w:rFonts w:ascii="AgfaRotisSansSerif" w:hAnsi="AgfaRotisSansSerif" w:cs="AgfaRotisSansSerif"/>
          <w:szCs w:val="20"/>
          <w:highlight w:val="yellow"/>
        </w:rPr>
      </w:pPr>
      <w:r>
        <w:rPr>
          <w:rFonts w:cs="AgfaRotisSansSerif" w:ascii="AgfaRotisSansSerif" w:hAnsi="AgfaRotisSansSerif"/>
          <w:szCs w:val="20"/>
          <w:highlight w:val="yellow"/>
        </w:rPr>
        <w:t>Sehr geehrte Damen und Herren,</w:t>
      </w:r>
    </w:p>
    <w:p>
      <w:pPr>
        <w:pStyle w:val="Normal"/>
        <w:rPr>
          <w:rFonts w:ascii="AgfaRotisSansSerif" w:hAnsi="AgfaRotisSansSerif" w:eastAsia="Times New Roman" w:cs="AgfaRotisSansSerif"/>
          <w:sz w:val="24"/>
          <w:szCs w:val="20"/>
        </w:rPr>
      </w:pPr>
      <w:r>
        <w:rPr>
          <w:rFonts w:eastAsia="Times New Roman" w:cs="AgfaRotisSansSerif" w:ascii="AgfaRotisSansSerif" w:hAnsi="AgfaRotisSansSerif"/>
          <w:sz w:val="24"/>
          <w:szCs w:val="20"/>
        </w:rPr>
        <w:t>der auf den Empfehlungen der Kommission „Nachhaltige Baulandmobilisierung und Bodenpolitik“ beruhende und vom Bundesministerium des Innern, für Bau und Heimat vorgelegte Gesetzesentwurf hat zum Ziel, „die Kommunen bei der Aktivierung von Bauland und zur Sicherung bezahlbaren Wohnens“ zu unterstützen und formuliert dabei einige gute Ansätze zur Sicherung von grüner Infrastruktur.</w:t>
      </w:r>
    </w:p>
    <w:p>
      <w:pPr>
        <w:pStyle w:val="Normal"/>
        <w:spacing w:before="0" w:after="319"/>
        <w:rPr>
          <w:rFonts w:ascii="AgfaRotisSansSerif" w:hAnsi="AgfaRotisSansSerif" w:eastAsia="Times New Roman" w:cs="AgfaRotisSansSerif"/>
          <w:sz w:val="24"/>
          <w:szCs w:val="20"/>
        </w:rPr>
      </w:pPr>
      <w:bookmarkStart w:id="0" w:name="__DdeLink__641_502430317"/>
      <w:r>
        <w:rPr>
          <w:rFonts w:eastAsia="Times New Roman" w:cs="AgfaRotisSansSerif" w:ascii="AgfaRotisSansSerif" w:hAnsi="AgfaRotisSansSerif"/>
          <w:sz w:val="24"/>
          <w:szCs w:val="20"/>
        </w:rPr>
        <w:t>In Zeiten des dramatischen Artensterbens, der Anpassung an den Klimawandel und mit dem Blick auf die Notwendigkeit, bezahlbaren Wohnraum zu schaffen, sind wichtige Änderungen des Baurechts dringend nötig. Vorrangig muss es beim Schaffen neuen Wohnraums aber um "Flächenrecycling" gehen, also die Wiedernutzung ehemals bebauter Flächen, und "doppelte Innenentwicklung", die Nachverdichtung mindergenutzter Flächen unter Berücksichtigung von urbanem Grün.</w:t>
      </w:r>
      <w:bookmarkEnd w:id="0"/>
    </w:p>
    <w:p>
      <w:pPr>
        <w:pStyle w:val="NormalWeb"/>
        <w:spacing w:beforeAutospacing="0" w:before="280" w:afterAutospacing="0" w:after="319"/>
        <w:rPr/>
      </w:pPr>
      <w:r>
        <w:rPr>
          <w:rFonts w:cs="AgfaRotisSansSerif" w:ascii="AgfaRotisSansSerif" w:hAnsi="AgfaRotisSansSerif"/>
          <w:b/>
          <w:bCs/>
          <w:szCs w:val="20"/>
        </w:rPr>
        <w:t>Im Rahmen dessen ist die geplante Verlängerung des §13b BauGB nicht hinnehmbar.</w:t>
      </w:r>
    </w:p>
    <w:p>
      <w:pPr>
        <w:pStyle w:val="Normal"/>
        <w:spacing w:before="0" w:after="319"/>
        <w:rPr/>
      </w:pPr>
      <w:r>
        <w:rPr>
          <w:rFonts w:eastAsia="Times New Roman" w:cs="AgfaRotisSansSerif" w:ascii="AgfaRotisSansSerif" w:hAnsi="AgfaRotisSansSerif"/>
          <w:sz w:val="24"/>
          <w:szCs w:val="20"/>
        </w:rPr>
        <w:t xml:space="preserve">Eine Untersuchung der Anwendung des §13b BauGB seit dessen Einführung im Jahr 2017 belegt, dass das Instrument wohnungspolitisch nicht zielführend und naturschutz- und umweltpolitisch unverantwortlich ist. Analysiert wurden dabei 105 Bebauungspläne nach dem Verfahren des § 13b BauGB (siehe Schmauck und Tautenhahn, </w:t>
      </w:r>
      <w:hyperlink r:id="rId2">
        <w:r>
          <w:rPr>
            <w:rStyle w:val="Internetverknpfung"/>
            <w:rFonts w:eastAsia="Times New Roman" w:cs="AgfaRotisSansSerif" w:ascii="AgfaRotisSansSerif" w:hAnsi="AgfaRotisSansSerif"/>
            <w:color w:val="auto"/>
            <w:sz w:val="24"/>
            <w:szCs w:val="20"/>
            <w:lang w:val="de-DE" w:eastAsia="zh-CN" w:bidi="ar-SA"/>
          </w:rPr>
          <w:t>Natur und Landschaft 94 (2019): 08</w:t>
        </w:r>
      </w:hyperlink>
      <w:r>
        <w:rPr>
          <w:rFonts w:eastAsia="Times New Roman" w:cs="AgfaRotisSansSerif" w:ascii="AgfaRotisSansSerif" w:hAnsi="AgfaRotisSansSerif"/>
          <w:sz w:val="24"/>
          <w:szCs w:val="20"/>
        </w:rPr>
        <w:t>). Es stellte sich heraus, dass überwiegend Gebiete für Ein- und Zweifamilienhäuser im ländlichen Raum beplant werden und so die Flächenneuinanspruchnahme im Außenbereich durch § 13b BauGB forciert wird. In Ballungsräumen mit großem Wohnungsmangel wird das Instrument kaum angewendet, sodass der zur Linderung der Wohnungsnot notwendige Miet- und Geschosswohnungsbau nicht erfolgt.</w:t>
      </w:r>
    </w:p>
    <w:p>
      <w:pPr>
        <w:pStyle w:val="Normal"/>
        <w:spacing w:before="0" w:after="319"/>
        <w:rPr>
          <w:rFonts w:ascii="AgfaRotisSansSerif" w:hAnsi="AgfaRotisSansSerif" w:eastAsia="Times New Roman" w:cs="AgfaRotisSansSerif"/>
          <w:sz w:val="24"/>
          <w:szCs w:val="20"/>
        </w:rPr>
      </w:pPr>
      <w:r>
        <w:rPr>
          <w:rFonts w:eastAsia="Times New Roman" w:cs="AgfaRotisSansSerif" w:ascii="AgfaRotisSansSerif" w:hAnsi="AgfaRotisSansSerif"/>
          <w:sz w:val="24"/>
          <w:szCs w:val="20"/>
        </w:rPr>
        <w:t>Die geplante weitere Regelung des § 13b konterkariert außerdem das in der Nachhaltigkeitsstrategie der Bundesregierung angestrebte 30 ha-Ziel. Auch steht der Paragraph den Bemühungen der Bundesregierung zur Biodiversitätsstrategie durch die zusätzliche Zerschneidu</w:t>
      </w:r>
      <w:bookmarkStart w:id="1" w:name="_GoBack"/>
      <w:bookmarkEnd w:id="1"/>
      <w:r>
        <w:rPr>
          <w:rFonts w:eastAsia="Times New Roman" w:cs="AgfaRotisSansSerif" w:ascii="AgfaRotisSansSerif" w:hAnsi="AgfaRotisSansSerif"/>
          <w:sz w:val="24"/>
          <w:szCs w:val="20"/>
        </w:rPr>
        <w:t>ng der Landschaft und die Verinselung von wertvollen Biotopen entgegen. Zudem werden durch den Wegfall der (systematischen) Umweltprüfung Beeinträchtigungen des Artenschutzes oftmals nicht offenkundig.</w:t>
      </w:r>
    </w:p>
    <w:p>
      <w:pPr>
        <w:pStyle w:val="Normal"/>
        <w:spacing w:lineRule="auto" w:line="240" w:before="0" w:after="0"/>
        <w:rPr/>
      </w:pPr>
      <w:r>
        <w:rPr>
          <w:rFonts w:eastAsia="Times New Roman" w:cs="AgfaRotisSansSerif" w:ascii="AgfaRotisSansSerif" w:hAnsi="AgfaRotisSansSerif"/>
          <w:sz w:val="24"/>
          <w:szCs w:val="20"/>
        </w:rPr>
        <w:t>Mit dem Blick auf den anhaltenden Verlust an Arten und Lebensräumen sowie die Herausforderungen des Klimawandels braucht es ein klares Signal für eine nachhaltige Entwicklung, die das Schaffen neuen Wohnraums im Sinne der doppelten Innenentwicklung mit mehr Natur in Dorf und Stadt verbindet!</w:t>
      </w:r>
    </w:p>
    <w:p>
      <w:pPr>
        <w:pStyle w:val="Normal"/>
        <w:spacing w:before="0" w:after="0"/>
        <w:rPr>
          <w:rFonts w:ascii="AgfaRotisSansSerif" w:hAnsi="AgfaRotisSansSerif" w:eastAsia="Times New Roman" w:cs="AgfaRotisSansSerif"/>
          <w:sz w:val="24"/>
          <w:szCs w:val="20"/>
        </w:rPr>
      </w:pPr>
      <w:r>
        <w:rPr>
          <w:rFonts w:eastAsia="Times New Roman" w:cs="AgfaRotisSansSerif" w:ascii="AgfaRotisSansSerif" w:hAnsi="AgfaRotisSansSerif"/>
          <w:sz w:val="24"/>
          <w:szCs w:val="20"/>
        </w:rPr>
        <w:t>Wir bitten Sie daher um Unterstützung zur Abschaffung des §13b BauGB.</w:t>
      </w:r>
    </w:p>
    <w:p>
      <w:pPr>
        <w:pStyle w:val="Normal"/>
        <w:spacing w:lineRule="auto" w:line="240" w:before="0" w:after="0"/>
        <w:rPr>
          <w:rFonts w:ascii="AgfaRotisSansSerif" w:hAnsi="AgfaRotisSansSerif" w:eastAsia="Times New Roman" w:cs="AgfaRotisSansSerif"/>
          <w:sz w:val="24"/>
          <w:szCs w:val="20"/>
        </w:rPr>
      </w:pPr>
      <w:r>
        <w:rPr>
          <w:rFonts w:eastAsia="Times New Roman" w:cs="AgfaRotisSansSerif" w:ascii="AgfaRotisSansSerif" w:hAnsi="AgfaRotisSansSerif"/>
          <w:sz w:val="24"/>
          <w:szCs w:val="20"/>
        </w:rPr>
        <w:t xml:space="preserve"> </w:t>
      </w:r>
    </w:p>
    <w:p>
      <w:pPr>
        <w:pStyle w:val="Normal"/>
        <w:spacing w:lineRule="auto" w:line="240" w:before="0" w:after="0"/>
        <w:rPr>
          <w:rFonts w:ascii="AgfaRotisSansSerif" w:hAnsi="AgfaRotisSansSerif" w:eastAsia="Times New Roman" w:cs="AgfaRotisSansSerif"/>
          <w:sz w:val="24"/>
          <w:szCs w:val="20"/>
        </w:rPr>
      </w:pPr>
      <w:r>
        <w:rPr>
          <w:rFonts w:eastAsia="Times New Roman" w:cs="AgfaRotisSansSerif" w:ascii="AgfaRotisSansSerif" w:hAnsi="AgfaRotisSansSerif"/>
          <w:sz w:val="24"/>
          <w:szCs w:val="20"/>
        </w:rPr>
        <w:t>Mit bestem Dank für Ihre Unterstützung und freundlichen Grüßen</w:t>
      </w:r>
    </w:p>
    <w:p>
      <w:pPr>
        <w:pStyle w:val="Normal"/>
        <w:rPr>
          <w:rFonts w:ascii="AgfaRotisSansSerif" w:hAnsi="AgfaRotisSansSerif" w:eastAsia="Times New Roman" w:cs="AgfaRotisSansSerif"/>
          <w:sz w:val="24"/>
          <w:szCs w:val="20"/>
        </w:rPr>
      </w:pPr>
      <w:r>
        <w:rPr>
          <w:rFonts w:eastAsia="Times New Roman" w:cs="AgfaRotisSansSerif" w:ascii="AgfaRotisSansSerif" w:hAnsi="AgfaRotisSansSerif"/>
          <w:sz w:val="24"/>
          <w:szCs w:val="20"/>
        </w:rPr>
      </w:r>
    </w:p>
    <w:p>
      <w:pPr>
        <w:pStyle w:val="Normal"/>
        <w:rPr>
          <w:rFonts w:ascii="AgfaRotisSansSerif" w:hAnsi="AgfaRotisSansSerif" w:eastAsia="Times New Roman" w:cs="AgfaRotisSansSerif"/>
          <w:sz w:val="24"/>
          <w:szCs w:val="20"/>
        </w:rPr>
      </w:pPr>
      <w:r>
        <w:rPr>
          <w:rFonts w:eastAsia="Times New Roman" w:cs="AgfaRotisSansSerif" w:ascii="AgfaRotisSansSerif" w:hAnsi="AgfaRotisSansSerif"/>
          <w:sz w:val="24"/>
          <w:szCs w:val="20"/>
        </w:rPr>
      </w:r>
    </w:p>
    <w:p>
      <w:pPr>
        <w:pStyle w:val="NormalWeb"/>
        <w:spacing w:beforeAutospacing="0" w:before="280" w:afterAutospacing="0" w:after="319"/>
        <w:rPr/>
      </w:pPr>
      <w:hyperlink r:id="rId3">
        <w:r>
          <w:rPr>
            <w:rStyle w:val="ListLabel2"/>
            <w:rFonts w:eastAsia="Times New Roman" w:cs="AgfaRotisSansSerif" w:ascii="AgfaRotisSansSerif" w:hAnsi="AgfaRotisSansSerif"/>
            <w:sz w:val="24"/>
            <w:szCs w:val="20"/>
            <w:highlight w:val="yellow"/>
            <w:lang w:val="en-GB" w:eastAsia="de-DE"/>
          </w:rPr>
          <w:t>U</w:t>
        </w:r>
      </w:hyperlink>
      <w:r>
        <w:rPr>
          <w:rFonts w:eastAsia="Times New Roman" w:cs="AgfaRotisSansSerif" w:ascii="AgfaRotisSansSerif" w:hAnsi="AgfaRotisSansSerif"/>
          <w:sz w:val="24"/>
          <w:szCs w:val="20"/>
          <w:highlight w:val="yellow"/>
          <w:lang w:val="en-GB" w:eastAsia="de-DE"/>
        </w:rPr>
        <w:t>nterschrift</w:t>
      </w:r>
    </w:p>
    <w:sectPr>
      <w:type w:val="nextPage"/>
      <w:pgSz w:w="11906" w:h="16838"/>
      <w:pgMar w:left="1417" w:right="1417"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gfaRotisSansSerif">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2c6a99"/>
    <w:rPr>
      <w:sz w:val="16"/>
      <w:szCs w:val="16"/>
    </w:rPr>
  </w:style>
  <w:style w:type="character" w:styleId="KommentartextZchn" w:customStyle="1">
    <w:name w:val="Kommentartext Zchn"/>
    <w:basedOn w:val="DefaultParagraphFont"/>
    <w:link w:val="Kommentartext"/>
    <w:uiPriority w:val="99"/>
    <w:semiHidden/>
    <w:qFormat/>
    <w:rsid w:val="002c6a99"/>
    <w:rPr>
      <w:sz w:val="20"/>
      <w:szCs w:val="20"/>
    </w:rPr>
  </w:style>
  <w:style w:type="character" w:styleId="KommentarthemaZchn" w:customStyle="1">
    <w:name w:val="Kommentarthema Zchn"/>
    <w:basedOn w:val="KommentartextZchn"/>
    <w:link w:val="Kommentarthema"/>
    <w:uiPriority w:val="99"/>
    <w:semiHidden/>
    <w:qFormat/>
    <w:rsid w:val="002c6a99"/>
    <w:rPr>
      <w:b/>
      <w:bCs/>
      <w:sz w:val="20"/>
      <w:szCs w:val="20"/>
    </w:rPr>
  </w:style>
  <w:style w:type="character" w:styleId="SprechblasentextZchn" w:customStyle="1">
    <w:name w:val="Sprechblasentext Zchn"/>
    <w:basedOn w:val="DefaultParagraphFont"/>
    <w:link w:val="Sprechblasentext"/>
    <w:uiPriority w:val="99"/>
    <w:semiHidden/>
    <w:qFormat/>
    <w:rsid w:val="002c6a99"/>
    <w:rPr>
      <w:rFonts w:ascii="Segoe UI" w:hAnsi="Segoe UI" w:cs="Segoe UI"/>
      <w:sz w:val="18"/>
      <w:szCs w:val="18"/>
    </w:rPr>
  </w:style>
  <w:style w:type="character" w:styleId="Strong">
    <w:name w:val="Strong"/>
    <w:basedOn w:val="DefaultParagraphFont"/>
    <w:qFormat/>
    <w:rPr>
      <w:b/>
      <w:bCs/>
    </w:rPr>
  </w:style>
  <w:style w:type="character" w:styleId="Aufzhlungszeichen1" w:customStyle="1">
    <w:name w:val="Aufzählungszeichen1"/>
    <w:qFormat/>
    <w:rPr>
      <w:rFonts w:ascii="OpenSymbol" w:hAnsi="OpenSymbol" w:eastAsia="OpenSymbol" w:cs="OpenSymbol"/>
    </w:rPr>
  </w:style>
  <w:style w:type="character" w:styleId="Internetverknpfung" w:customStyle="1">
    <w:name w:val="Internetverknüpfung"/>
    <w:rPr>
      <w:color w:val="000080"/>
      <w:u w:val="single"/>
    </w:rPr>
  </w:style>
  <w:style w:type="character" w:styleId="BesuchteInternetverknpfung" w:customStyle="1">
    <w:name w:val="Besuchte Internetverknüpfung"/>
    <w:basedOn w:val="DefaultParagraphFont"/>
    <w:rPr>
      <w:color w:val="800080"/>
      <w:u w:val="single"/>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ormalWeb">
    <w:name w:val="Normal (Web)"/>
    <w:basedOn w:val="Normal"/>
    <w:uiPriority w:val="99"/>
    <w:unhideWhenUsed/>
    <w:qFormat/>
    <w:rsid w:val="003b5421"/>
    <w:pPr>
      <w:spacing w:lineRule="auto" w:line="240" w:beforeAutospacing="1" w:afterAutospacing="1"/>
    </w:pPr>
    <w:rPr>
      <w:rFonts w:ascii="Times New Roman" w:hAnsi="Times New Roman" w:eastAsia="Times New Roman" w:cs="Times New Roman"/>
      <w:sz w:val="24"/>
      <w:szCs w:val="24"/>
      <w:lang w:eastAsia="de-DE"/>
    </w:rPr>
  </w:style>
  <w:style w:type="paragraph" w:styleId="Annotationtext">
    <w:name w:val="annotation text"/>
    <w:basedOn w:val="Normal"/>
    <w:link w:val="KommentartextZchn"/>
    <w:uiPriority w:val="99"/>
    <w:semiHidden/>
    <w:unhideWhenUsed/>
    <w:qFormat/>
    <w:rsid w:val="002c6a99"/>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2c6a99"/>
    <w:pPr/>
    <w:rPr>
      <w:b/>
      <w:bCs/>
    </w:rPr>
  </w:style>
  <w:style w:type="paragraph" w:styleId="BalloonText">
    <w:name w:val="Balloon Text"/>
    <w:basedOn w:val="Normal"/>
    <w:link w:val="SprechblasentextZchn"/>
    <w:uiPriority w:val="99"/>
    <w:semiHidden/>
    <w:unhideWhenUsed/>
    <w:qFormat/>
    <w:rsid w:val="002c6a99"/>
    <w:pPr>
      <w:spacing w:lineRule="auto" w:line="240" w:before="0" w:after="0"/>
    </w:pPr>
    <w:rPr>
      <w:rFonts w:ascii="Segoe UI" w:hAnsi="Segoe UI" w:cs="Segoe UI"/>
      <w:sz w:val="18"/>
      <w:szCs w:val="18"/>
    </w:rPr>
  </w:style>
  <w:style w:type="paragraph" w:styleId="ListParagraph">
    <w:name w:val="List Paragraph"/>
    <w:basedOn w:val="Normal"/>
    <w:qFormat/>
    <w:pPr>
      <w:spacing w:lineRule="auto" w:line="276" w:before="0" w:after="200"/>
      <w:ind w:left="720" w:hanging="0"/>
      <w:contextualSpacing/>
    </w:pPr>
    <w:rPr/>
  </w:style>
  <w:style w:type="paragraph" w:styleId="DocumentMap" w:customStyle="1">
    <w:name w:val="DocumentMap"/>
    <w:qFormat/>
    <w:pPr>
      <w:widowControl/>
      <w:bidi w:val="0"/>
      <w:spacing w:lineRule="auto" w:line="259" w:before="0" w:after="160"/>
      <w:jc w:val="left"/>
    </w:pPr>
    <w:rPr>
      <w:rFonts w:cs="Calibri" w:ascii="Calibri" w:hAnsi="Calibri" w:eastAsia="Calibri" w:asciiTheme="minorHAnsi" w:eastAsiaTheme="minorHAnsi" w:hAnsiTheme="minorHAnsi"/>
      <w:color w:val="auto"/>
      <w:kern w:val="0"/>
      <w:sz w:val="20"/>
      <w:szCs w:val="20"/>
      <w:lang w:eastAsia="de-DE" w:val="de-DE" w:bidi="ar-SA"/>
    </w:rPr>
  </w:style>
  <w:style w:type="paragraph" w:styleId="Rahmeninhalt" w:customStyle="1">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ohlhammer.de/wms/instances/KOB/appDE/nav_product.php?product=OP002806151908" TargetMode="External"/><Relationship Id="rId3" Type="http://schemas.openxmlformats.org/officeDocument/2006/relationships/hyperlink" Target="https://www.kohlhammer.de/wms/instances/KOB/appDE/nav_product.php?product=OP002806151908"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LibreOffice/6.3.2.2$Windows_X86_64 LibreOffice_project/98b30e735bda24bc04ab42594c85f7fd8be07b9c</Application>
  <Pages>2</Pages>
  <Words>366</Words>
  <Characters>2444</Characters>
  <CharactersWithSpaces>2815</CharactersWithSpaces>
  <Paragraphs>17</Paragraphs>
  <Company>BUND e.V.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2020-03-05T08:59:00Z</dcterms:created>
  <dc:creator>Heil Afra</dc:creator>
  <dc:description/>
  <dc:language>de-DE</dc:language>
  <cp:lastModifiedBy/>
  <dcterms:modified xsi:type="dcterms:W3CDTF">2020-04-06T15:24:40Z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BUND e.V.</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